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0" w:space="0" w:color="0B6F99"/>
          <w:left w:val="single" w:sz="0" w:space="0" w:color="0B6F99"/>
          <w:bottom w:val="single" w:sz="0" w:space="0" w:color="0B6F99"/>
          <w:right w:val="single" w:sz="0" w:space="0" w:color="0B6F99"/>
          <w:insideH w:val="single" w:sz="0" w:space="0" w:color="0B6F99"/>
          <w:insideV w:val="single" w:sz="0" w:space="0" w:color="0B6F99"/>
        </w:tblBorders>
      </w:tblPr>
      <w:tblGrid>
        <w:gridCol w:w="10282"/>
      </w:tblGrid>
      <w:tr>
        <w:tc>
          <w:tcPr>
            <w:tcW w:type="dxa" w:w="10282"/>
            <w:shd w:fill="0B6F99"/>
            <w:tcMar>
              <w:top w:w="120" w:type="dxa"/>
              <w:start w:w="150" w:type="dxa"/>
              <w:bottom w:w="130" w:type="dxa"/>
              <w:end w:w="15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PROMPT CARTOGRAPHY</w:t>
            </w:r>
          </w:p>
          <w:p>
            <w:r>
              <w:rPr>
                <w:rFonts w:ascii="Arial" w:hAnsi="Arial"/>
                <w:b/>
                <w:color w:val="FFFFFF"/>
                <w:sz w:val="44"/>
              </w:rPr>
              <w:t>Prompt Cartography Professional Self-Learner Path</w:t>
            </w:r>
          </w:p>
          <w:p>
            <w:r>
              <w:rPr>
                <w:rFonts w:ascii="Arial" w:hAnsi="Arial"/>
                <w:color w:val="FFFFFF"/>
                <w:sz w:val="21"/>
              </w:rPr>
              <w:t>An untimed two-hours-per-week guide for independent learners</w:t>
            </w:r>
          </w:p>
          <w:p>
            <w:r>
              <w:rPr>
                <w:rFonts w:ascii="Arial" w:hAnsi="Arial"/>
                <w:color w:val="FFFFFF"/>
                <w:sz w:val="17"/>
              </w:rPr>
              <w:t>Self-paced; approximately two hours total per week  •  Professionals and lifelong learners  •  Updated August 12, 2026</w:t>
            </w:r>
          </w:p>
        </w:tc>
      </w:tr>
    </w:tbl>
    <w:p/>
    <w:p>
      <w:pPr>
        <w:pStyle w:val="Heading1"/>
      </w:pPr>
      <w:r>
        <w:t>Course Description</w:t>
      </w:r>
    </w:p>
    <w:p>
      <w:r>
        <w:t>This is not a classroom syllabus with deadlines. It is a pacing system for learning Prompt Cartography without turning your evenings into a second job. The only recurring commitment is roughly two hours per week. Some modules may take one session; some may take several. Progress is measured by evidence you create—not by the calendar.</w:t>
      </w:r>
    </w:p>
    <w:p>
      <w:pPr>
        <w:pStyle w:val="Heading1"/>
      </w:pPr>
      <w:r>
        <w:t>Prerequisites / Preparation</w:t>
      </w:r>
    </w:p>
    <w:p>
      <w:r>
        <w:t>Curiosity, access to the textbook, a web browser, and an LLM you are comfortable using. Prior cartography/GIS experience helps but is not required.</w:t>
      </w:r>
    </w:p>
    <w:p>
      <w:pPr>
        <w:pStyle w:val="Heading1"/>
      </w:pPr>
      <w:r>
        <w:t>Time Commitment</w:t>
      </w:r>
    </w:p>
    <w:p>
      <w:r>
        <w:t>Keep the weekly ceiling near two hours. A useful rhythm is 25 minutes reading, 70 minutes making, 20 minutes critique/logging, and 5 minutes choosing the next action. If a lab runs long, stop and resume next week; the whole point is sustainable practice.</w:t>
      </w:r>
    </w:p>
    <w:p>
      <w:pPr>
        <w:pStyle w:val="Heading1"/>
      </w:pPr>
      <w:r>
        <w:t>Learning Outcomes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Frame a mapping problem in terms of purpose, audience, decisions, uncertainty, and appropriate scope before asking an LLM to generate a map.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Write and revise structured natural-language directives that function as reusable cartographic design artifacts rather than one-off requests.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Build a traceable prompt-to-map workflow that separates data, visual, interaction, critique, ethics, publication, and maintenance decisions.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Evaluate spatial data for fitness, provenance, privacy, bias, representation, and limits on what a map can responsibly claim.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Direct map form, layout, hierarchy, color, typography, symbology, and thematic representation with explicit visual reasoning.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Specify animation and interactive behaviors with attention to state, pacing, accessibility, and user tasks.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Critique AI-assisted map outputs for design drift, misleading defaults, accessibility problems, and mismatches between intent and result.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Produce a defensible map or map system accompanied by prompts, provenance, critique history, and a plan for publication or maintenance.</w:t>
      </w:r>
    </w:p>
    <w:p>
      <w:pPr>
        <w:pStyle w:val="Heading1"/>
      </w:pPr>
      <w:r>
        <w:t>Primary Resources</w:t>
      </w:r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Primary course text: </w:t>
      </w:r>
      <w:r>
        <w:rPr>
          <w:rFonts w:ascii="Arial" w:hAnsi="Arial"/>
          <w:sz w:val="19"/>
        </w:rPr>
        <w:t xml:space="preserve">Muehlenhaus, Ian. Prompt Cartography: Interactive Web Map Design with LLMs. CRC Press / Taylor &amp; Francis. </w:t>
      </w:r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Prompt Cartography companion site: </w:t>
      </w:r>
      <w:r>
        <w:rPr>
          <w:rFonts w:ascii="Arial" w:hAnsi="Arial"/>
          <w:sz w:val="19"/>
        </w:rPr>
        <w:t xml:space="preserve">Labs, workflow guides, reusable prompts, design schemas, downloads, examples, and instructor resources. </w:t>
      </w:r>
      <w:hyperlink r:id="rId11">
        <w:r>
          <w:rPr>
            <w:rFonts w:ascii="Arial" w:hAnsi="Arial"/>
            <w:color w:val="0B6F99"/>
            <w:u w:val="single"/>
          </w:rPr>
          <w:t>https://www.promptcartography.com</w:t>
        </w:r>
      </w:hyperlink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Core lab directory: </w:t>
      </w:r>
      <w:r>
        <w:rPr>
          <w:rFonts w:ascii="Arial" w:hAnsi="Arial"/>
          <w:sz w:val="19"/>
        </w:rPr>
        <w:t xml:space="preserve">Chapter-aligned labs used throughout these syllabi. </w:t>
      </w:r>
      <w:hyperlink r:id="rId12">
        <w:r>
          <w:rPr>
            <w:rFonts w:ascii="Arial" w:hAnsi="Arial"/>
            <w:color w:val="0B6F99"/>
            <w:u w:val="single"/>
          </w:rPr>
          <w:t>https://www.promptcartography.com/labs/</w:t>
        </w:r>
      </w:hyperlink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Instructor resources: </w:t>
      </w:r>
      <w:r>
        <w:rPr>
          <w:rFonts w:ascii="Arial" w:hAnsi="Arial"/>
          <w:sz w:val="19"/>
        </w:rPr>
        <w:t xml:space="preserve">Chapter discussion questions, rubrics, and adoption materials. </w:t>
      </w:r>
      <w:hyperlink r:id="rId13">
        <w:r>
          <w:rPr>
            <w:rFonts w:ascii="Arial" w:hAnsi="Arial"/>
            <w:color w:val="0B6F99"/>
            <w:u w:val="single"/>
          </w:rPr>
          <w:t>https://www.promptcartography.com/instructor-resources/</w:t>
        </w:r>
      </w:hyperlink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WebMapGPT: </w:t>
      </w:r>
      <w:r>
        <w:rPr>
          <w:rFonts w:ascii="Arial" w:hAnsi="Arial"/>
          <w:sz w:val="19"/>
        </w:rPr>
        <w:t xml:space="preserve">Live prompt-cartography examples, experiments, and agent-oriented map workflows. Use examples for reverse engineering, critique, and workflow comparison. </w:t>
      </w:r>
      <w:hyperlink r:id="rId14">
        <w:r>
          <w:rPr>
            <w:rFonts w:ascii="Arial" w:hAnsi="Arial"/>
            <w:color w:val="0B6F99"/>
            <w:u w:val="single"/>
          </w:rPr>
          <w:t>https://www.webmapgpt.com</w:t>
        </w:r>
      </w:hyperlink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WebMapGPT agent suite: </w:t>
      </w:r>
      <w:r>
        <w:rPr>
          <w:rFonts w:ascii="Arial" w:hAnsi="Arial"/>
          <w:sz w:val="19"/>
        </w:rPr>
        <w:t xml:space="preserve">Agent-oriented entry point for examples of specialized data, mapping, critique, and design workflows. </w:t>
      </w:r>
      <w:hyperlink r:id="rId15">
        <w:r>
          <w:rPr>
            <w:rFonts w:ascii="Arial" w:hAnsi="Arial"/>
            <w:color w:val="0B6F99"/>
            <w:u w:val="single"/>
          </w:rPr>
          <w:t>https://www.webmapgpt.com/agents.html</w:t>
        </w:r>
      </w:hyperlink>
    </w:p>
    <w:p>
      <w:pPr>
        <w:spacing w:after="60"/>
      </w:pPr>
      <w:r>
        <w:rPr>
          <w:rFonts w:ascii="Arial" w:hAnsi="Arial"/>
          <w:b/>
          <w:color w:val="0B6F99"/>
          <w:sz w:val="19"/>
        </w:rPr>
        <w:t xml:space="preserve">Prompt Cartography Map Design Lab / Design Schemas: </w:t>
      </w:r>
      <w:r>
        <w:rPr>
          <w:rFonts w:ascii="Arial" w:hAnsi="Arial"/>
          <w:sz w:val="19"/>
        </w:rPr>
        <w:t xml:space="preserve">Use the schema library and style-mixing environment to practice expressing visual direction as editable design systems. </w:t>
      </w:r>
      <w:hyperlink r:id="rId16">
        <w:r>
          <w:rPr>
            <w:rFonts w:ascii="Arial" w:hAnsi="Arial"/>
            <w:color w:val="0B6F99"/>
            <w:u w:val="single"/>
          </w:rPr>
          <w:t>https://www.promptcartography.com/design-schemas/style-mashup-lab/</w:t>
        </w:r>
      </w:hyperlink>
    </w:p>
    <w:p>
      <w:r>
        <w:rPr>
          <w:rFonts w:ascii="Arial" w:hAnsi="Arial"/>
          <w:b/>
          <w:color w:val="0B6F99"/>
          <w:sz w:val="19"/>
        </w:rPr>
        <w:t xml:space="preserve">Optional deeper reading: </w:t>
      </w:r>
      <w:r>
        <w:rPr>
          <w:rFonts w:ascii="Arial" w:hAnsi="Arial"/>
          <w:sz w:val="19"/>
        </w:rPr>
        <w:t xml:space="preserve">Muehlenhaus, Ian. “Disputation on the Power and Efficacy of Human Cartographic Expertise.” </w:t>
      </w:r>
      <w:hyperlink r:id="rId17">
        <w:r>
          <w:rPr>
            <w:rFonts w:ascii="Arial" w:hAnsi="Arial"/>
            <w:color w:val="0B6F99"/>
            <w:u w:val="single"/>
          </w:rPr>
          <w:t>https://www.promptcartography.com/blog/disputation-cartographic-expertise.html</w:t>
        </w:r>
      </w:hyperlink>
    </w:p>
    <w:p>
      <w:pPr>
        <w:pStyle w:val="Heading1"/>
      </w:pPr>
      <w:r>
        <w:t>Technology and Platform Approach</w:t>
      </w:r>
    </w:p>
    <w:p>
      <w:r>
        <w:rPr>
          <w:rFonts w:ascii="Arial" w:hAnsi="Arial"/>
          <w:sz w:val="20"/>
        </w:rPr>
        <w:t>You do not need to standardize on a single commercial LLM, GIS package, or web-mapping library. Choose tools you can access safely, but keep your attention on cartographic reasoning, workflow quality, documentation, and the ability to transfer decisions across tools. A modern browser and access to at least one capable LLM are the baseline requirements.</w:t>
      </w:r>
    </w:p>
    <w:p>
      <w:pPr>
        <w:spacing w:before="100" w:after="100"/>
        <w:shd w:fill="EAF6FA"/>
      </w:pPr>
      <w:r>
        <w:rPr>
          <w:rFonts w:ascii="Arial" w:hAnsi="Arial"/>
          <w:b/>
          <w:color w:val="0B6F99"/>
          <w:sz w:val="19"/>
        </w:rPr>
        <w:t xml:space="preserve">Prompt &amp; Provenance Minimum. </w:t>
      </w:r>
      <w:r>
        <w:rPr>
          <w:rFonts w:ascii="Arial" w:hAnsi="Arial"/>
          <w:sz w:val="19"/>
        </w:rPr>
        <w:t>For any assessed or portfolio map, preserve enough of the production record to explain purpose, data sources, tool/model assistance, important prompts or specifications, human revisions, accessibility/ethics/uncertainty checks, and what should happen when data or technology changes.</w:t>
      </w:r>
    </w:p>
    <w:p>
      <w:pPr>
        <w:pStyle w:val="Heading1"/>
      </w:pPr>
      <w:r>
        <w:t>How to Measure Progress</w:t>
      </w:r>
    </w:p>
    <w:p>
      <w:r>
        <w:t>There is no grade. After each module ask: Can I explain the decision? Can I reproduce the workflow? Can I identify what I would critique next? Save the evidence listed for each module in your Prompt Portfolio.</w:t>
      </w:r>
    </w:p>
    <w:p>
      <w:pPr>
        <w:pStyle w:val="Heading1"/>
      </w:pPr>
      <w:r>
        <w:t>Capstone / Completion Target</w:t>
      </w:r>
    </w:p>
    <w:p>
      <w:r>
        <w:t>Finish one map or small map system you would be comfortable showing a colleague, client, instructor, or future employer—with enough documentation that you could explain how and why it was made.</w:t>
      </w:r>
    </w:p>
    <w:p>
      <w:r>
        <w:br w:type="page"/>
      </w:r>
    </w:p>
    <w:p>
      <w:pPr>
        <w:pStyle w:val="Heading1"/>
      </w:pPr>
      <w:r>
        <w:t>The Two-Hour Weekly Rhythm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8E5EA"/>
          <w:left w:val="single" w:sz="4" w:space="0" w:color="D8E5EA"/>
          <w:bottom w:val="single" w:sz="4" w:space="0" w:color="D8E5EA"/>
          <w:right w:val="single" w:sz="4" w:space="0" w:color="D8E5EA"/>
          <w:insideH w:val="single" w:sz="4" w:space="0" w:color="D8E5EA"/>
          <w:insideV w:val="single" w:sz="4" w:space="0" w:color="D8E5EA"/>
        </w:tblBorders>
      </w:tblPr>
      <w:tblGrid>
        <w:gridCol w:w="5141"/>
        <w:gridCol w:w="5141"/>
      </w:tblGrid>
      <w:tr>
        <w:tc>
          <w:tcPr>
            <w:tcW w:type="dxa" w:w="5141"/>
            <w:shd w:fill="EAF6FA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Arial" w:hAnsi="Arial"/>
                <w:b/>
                <w:color w:val="0B6F99"/>
                <w:sz w:val="18"/>
              </w:rPr>
              <w:t>Read — about 25 minutes</w:t>
            </w:r>
          </w:p>
          <w:p>
            <w:pPr>
              <w:spacing w:after="0"/>
            </w:pPr>
            <w:r>
              <w:rPr>
                <w:rFonts w:ascii="Arial" w:hAnsi="Arial"/>
                <w:sz w:val="17"/>
              </w:rPr>
              <w:t>Read a manageable slice of the assigned chapter(s). Stop mid-chapter if needed.</w:t>
            </w:r>
          </w:p>
        </w:tc>
        <w:tc>
          <w:tcPr>
            <w:tcW w:type="dxa" w:w="5141"/>
            <w:shd w:fill="F8FCF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Arial" w:hAnsi="Arial"/>
                <w:b/>
                <w:color w:val="0B6F99"/>
                <w:sz w:val="18"/>
              </w:rPr>
              <w:t>Make — about 70 minutes</w:t>
            </w:r>
          </w:p>
          <w:p>
            <w:pPr>
              <w:spacing w:after="0"/>
            </w:pPr>
            <w:r>
              <w:rPr>
                <w:rFonts w:ascii="Arial" w:hAnsi="Arial"/>
                <w:sz w:val="17"/>
              </w:rPr>
              <w:t>Work on the named core lab or apply the idea to your own project.</w:t>
            </w:r>
          </w:p>
        </w:tc>
      </w:tr>
      <w:tr>
        <w:tc>
          <w:tcPr>
            <w:tcW w:type="dxa" w:w="5141"/>
            <w:shd w:fill="EAF6FA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Arial" w:hAnsi="Arial"/>
                <w:b/>
                <w:color w:val="0B6F99"/>
                <w:sz w:val="18"/>
              </w:rPr>
              <w:t>Critique + log — about 20 minutes</w:t>
            </w:r>
          </w:p>
          <w:p>
            <w:pPr>
              <w:spacing w:after="0"/>
            </w:pPr>
            <w:r>
              <w:rPr>
                <w:rFonts w:ascii="Arial" w:hAnsi="Arial"/>
                <w:sz w:val="17"/>
              </w:rPr>
              <w:t>Save prompts, compare intent to output, and write what you would change.</w:t>
            </w:r>
          </w:p>
        </w:tc>
        <w:tc>
          <w:tcPr>
            <w:tcW w:type="dxa" w:w="5141"/>
            <w:shd w:fill="F8FCF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r>
              <w:rPr>
                <w:rFonts w:ascii="Arial" w:hAnsi="Arial"/>
                <w:b/>
                <w:color w:val="0B6F99"/>
                <w:sz w:val="18"/>
              </w:rPr>
              <w:t>Choose the next move — about 5 minutes</w:t>
            </w:r>
          </w:p>
          <w:p>
            <w:pPr>
              <w:spacing w:after="0"/>
            </w:pPr>
            <w:r>
              <w:rPr>
                <w:rFonts w:ascii="Arial" w:hAnsi="Arial"/>
                <w:sz w:val="17"/>
              </w:rPr>
              <w:t>Decide exactly where you will resume next week.</w:t>
            </w:r>
          </w:p>
        </w:tc>
      </w:tr>
    </w:tbl>
    <w:p>
      <w:pPr>
        <w:pStyle w:val="Heading1"/>
      </w:pPr>
      <w:r>
        <w:t>Self-Paced Modules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8E5EA"/>
          <w:left w:val="single" w:sz="4" w:space="0" w:color="D8E5EA"/>
          <w:bottom w:val="single" w:sz="4" w:space="0" w:color="D8E5EA"/>
          <w:right w:val="single" w:sz="4" w:space="0" w:color="D8E5EA"/>
          <w:insideH w:val="single" w:sz="4" w:space="0" w:color="D8E5EA"/>
          <w:insideV w:val="single" w:sz="4" w:space="0" w:color="D8E5EA"/>
        </w:tblBorders>
      </w:tblPr>
      <w:tblGrid>
        <w:gridCol w:w="2570"/>
        <w:gridCol w:w="2570"/>
        <w:gridCol w:w="2570"/>
        <w:gridCol w:w="2570"/>
      </w:tblGrid>
      <w:tr>
        <w:trPr>
          <w:tblHeader w:val="true"/>
        </w:trPr>
        <w:tc>
          <w:tcPr>
            <w:tcW w:type="dxa" w:w="864"/>
            <w:shd w:fill="0B6F99"/>
            <w:tcMar>
              <w:top w:w="75" w:type="dxa"/>
              <w:start w:w="70" w:type="dxa"/>
              <w:bottom w:w="75" w:type="dxa"/>
              <w:end w:w="70" w:type="dxa"/>
            </w:tcMar>
          </w:tcPr>
          <w:p>
            <w:r>
              <w:rPr>
                <w:rFonts w:ascii="Arial" w:hAnsi="Arial"/>
                <w:b/>
                <w:color w:val="FFFFFF"/>
                <w:sz w:val="15"/>
              </w:rPr>
              <w:t>Module</w:t>
            </w:r>
          </w:p>
        </w:tc>
        <w:tc>
          <w:tcPr>
            <w:tcW w:type="dxa" w:w="2088"/>
            <w:shd w:fill="0B6F99"/>
            <w:tcMar>
              <w:top w:w="75" w:type="dxa"/>
              <w:start w:w="70" w:type="dxa"/>
              <w:bottom w:w="75" w:type="dxa"/>
              <w:end w:w="70" w:type="dxa"/>
            </w:tcMar>
          </w:tcPr>
          <w:p>
            <w:r>
              <w:rPr>
                <w:rFonts w:ascii="Arial" w:hAnsi="Arial"/>
                <w:b/>
                <w:color w:val="FFFFFF"/>
                <w:sz w:val="15"/>
              </w:rPr>
              <w:t>Focus</w:t>
            </w:r>
          </w:p>
        </w:tc>
        <w:tc>
          <w:tcPr>
            <w:tcW w:type="dxa" w:w="4680"/>
            <w:shd w:fill="0B6F99"/>
            <w:tcMar>
              <w:top w:w="75" w:type="dxa"/>
              <w:start w:w="70" w:type="dxa"/>
              <w:bottom w:w="75" w:type="dxa"/>
              <w:end w:w="70" w:type="dxa"/>
            </w:tcMar>
          </w:tcPr>
          <w:p>
            <w:r>
              <w:rPr>
                <w:rFonts w:ascii="Arial" w:hAnsi="Arial"/>
                <w:b/>
                <w:color w:val="FFFFFF"/>
                <w:sz w:val="15"/>
              </w:rPr>
              <w:t>Read / Practice</w:t>
            </w:r>
          </w:p>
        </w:tc>
        <w:tc>
          <w:tcPr>
            <w:tcW w:type="dxa" w:w="2520"/>
            <w:shd w:fill="0B6F99"/>
            <w:tcMar>
              <w:top w:w="75" w:type="dxa"/>
              <w:start w:w="70" w:type="dxa"/>
              <w:bottom w:w="75" w:type="dxa"/>
              <w:end w:w="70" w:type="dxa"/>
            </w:tcMar>
          </w:tcPr>
          <w:p>
            <w:r>
              <w:rPr>
                <w:rFonts w:ascii="Arial" w:hAnsi="Arial"/>
                <w:b/>
                <w:color w:val="FFFFFF"/>
                <w:sz w:val="15"/>
              </w:rPr>
              <w:t>Minimum Evidence Before Moving On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Start here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Build your learning system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Set up a Prompt Portfolio (one folder or notebook for prompts, outputs, critique notes, source links, and decisions). Bookmark the book site, labs, WebMapGPT, and the design-schema tools.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one-page map idea list and a blank provenance template.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1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Director mindset + prompt literacy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1: From Web Cartographer to Prompt Cartography Director; Ch. 2: Learning to Speak via Prompt. Complete Lab 1: The Prompt Director's Chair; Lab 2: From Casual Prompt to Cartographic Design Artifact.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one before/after prompt pair showing how purpose, audience, and constraints changed the map request.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2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Memory + repeatable workflow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3: The Cartography Process as Knowledge Recall; Ch. 4: The Prompt Cartography Workflow and Pipelines. Complete Lab 3: Designing Cartographic Memory; Lab 4: Build a Prompt-to-Map Pipeline.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small knowledge document and a diagram of your prompt-to-map pipeline.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3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Ethics + critique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5: Provenance, Ethics, and Privacy; Ch. 6: The (Constant) Critique Pipeline. Complete Lab 5: Ethical Provenance and Privacy Packet; Lab 6: The Critique Pipeline Dossier. Optional deeper reflection: read the “Disputation on the Power and Efficacy of Human Cartographic Expertise.”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an ethics/provenance packet and one critique that causes you to revise or reject something.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4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Data engineering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7: The Data Engineering Pipeline. Complete Lab 7: Build a Task-Specific Data Pipeline.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data brief that states what the dataset can support, what it cannot support, and how you know.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5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Form + layout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8: Learning the Language of Map Form and Style; Ch. 9: Map Elements, Layouts, and the Curse of LLM Defaults. Complete Lab 8: Prompting Map Form and Visual Dialect; Lab 9: The Map Elements Specification. Use the Map Design Lab / schema library to remix a style and edit the resulting design language.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design schema plus a “default autopsy” noting at least three choices you deliberately overrode.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6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Color + typography + symbology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10: Color Theory and Palette Design; Ch. 11: Prompting for Typography; Ch. 12: Map Symbology. Work through Lab 10: Palette as Argument; Lab 11: The Typographic Voice System; Lab 12: The Symbology Specification across as many two-hour sessions as you need.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one coordinated visual-system specification with accessibility notes.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7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Thematic representation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13: Thematic Representation. Complete Lab 13: The Thematic Method Trial.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chosen method, one rejected method, and a short explanation of what each would imply.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8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Time + interactivity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14: Change over Time; Ch. 15: Bringing Your Visual Plan to Life via Interactivity. Complete Lab 14: The Animation Worthiness Test; Lab 15: The Interactive Behavior Blueprint.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an animation decision and an interaction blueprint with explicit state, disclosure, and persistence choices.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9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Direct the whole map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16: From Prompt Cartographer to Interactive Web Map Director. Complete Lab 16: Direct an Earlier Map into Excellence.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revisit an earlier map and make at least three deliberate revisions, including one subtraction.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10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Plan for the map’s second life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17: Sustaining a Map That Has Left the Station: The Maintenance Pipeline. Complete Lab 17: The Map Maintenance Dossier.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maintenance dossier with update triggers, ownership, QA checks, and a graceful-retirement condition.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11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Accountability + uncertainty seminar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18: Mapping Community Data with Accountability; Ch. 19: Mapping Presence, Absence, and Uncertainty. Apply both chapters to a real public-facing or community-relevant map you can inspect.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  <w:shd w:fill="F8FCFD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a one-page “publish / revise / do not publish” decision with rationale.</w:t>
            </w:r>
          </w:p>
        </w:tc>
      </w:tr>
      <w:tr>
        <w:trPr>
          <w:cantSplit/>
        </w:trPr>
        <w:tc>
          <w:tcPr>
            <w:tcW w:type="dxa" w:w="864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12</w:t>
            </w:r>
          </w:p>
        </w:tc>
        <w:tc>
          <w:tcPr>
            <w:tcW w:type="dxa" w:w="2088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/>
                <w:color w:val="0B6F99"/>
                <w:sz w:val="15"/>
              </w:rPr>
              <w:t>Capstone + handoff</w:t>
            </w:r>
          </w:p>
        </w:tc>
        <w:tc>
          <w:tcPr>
            <w:tcW w:type="dxa" w:w="468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Ch. 20: The Main Feature Presentation: Visualizing Complex Connections. Build or finish one defensible map or small map system.</w:t>
            </w:r>
          </w:p>
        </w:tc>
        <w:tc>
          <w:tcPr>
            <w:tcW w:type="dxa" w:w="2520"/>
            <w:tcMar>
              <w:top w:w="65" w:type="dxa"/>
              <w:start w:w="65" w:type="dxa"/>
              <w:bottom w:w="65" w:type="dxa"/>
              <w:end w:w="65" w:type="dxa"/>
            </w:tcMar>
            <w:vAlign w:val="top"/>
          </w:tcPr>
          <w:p>
            <w:r>
              <w:rPr>
                <w:rFonts w:ascii="Arial" w:hAnsi="Arial"/>
                <w:b w:val="0"/>
                <w:color w:val="17232D"/>
                <w:sz w:val="15"/>
              </w:rPr>
              <w:t>Evidence: final map/prototype + prompt stack + provenance + critique history + accessibility/ethics note + maintenance plan.</w:t>
            </w:r>
          </w:p>
        </w:tc>
      </w:tr>
    </w:tbl>
    <w:p>
      <w:pPr>
        <w:shd w:fill="FFF8EA"/>
      </w:pPr>
      <w:r>
        <w:rPr>
          <w:rFonts w:ascii="Arial" w:hAnsi="Arial"/>
          <w:b/>
          <w:color w:val="0B6F99"/>
          <w:sz w:val="18"/>
        </w:rPr>
        <w:t xml:space="preserve">A simple rule for staying on task: </w:t>
      </w:r>
      <w:r>
        <w:rPr>
          <w:rFonts w:ascii="Arial" w:hAnsi="Arial"/>
          <w:sz w:val="18"/>
        </w:rPr>
        <w:t>Never “catch up.” Resume. If you skip three weeks, the next session is still only two hours. Sustainable practice beats a guilt-powered fake deadline.</w:t>
      </w:r>
    </w:p>
    <w:p>
      <w:pPr>
        <w:pStyle w:val="Heading1"/>
      </w:pPr>
      <w:r>
        <w:t>Course / Practice Policies</w:t>
      </w:r>
    </w:p>
    <w:p>
      <w:r>
        <w:rPr>
          <w:rFonts w:ascii="Arial" w:hAnsi="Arial"/>
          <w:b/>
          <w:color w:val="0B6F99"/>
          <w:sz w:val="19"/>
        </w:rPr>
        <w:t>Responsible AI use</w:t>
      </w:r>
      <w:r>
        <w:rPr>
          <w:rFonts w:ascii="Arial" w:hAnsi="Arial"/>
          <w:sz w:val="18"/>
        </w:rPr>
        <w:t>. Use any suitable LLM or agentic tool, but keep a decision record. Treat generated code, data transformations, claims, and cartographic choices as drafts that require human review.</w:t>
      </w:r>
    </w:p>
    <w:p>
      <w:r>
        <w:rPr>
          <w:rFonts w:ascii="Arial" w:hAnsi="Arial"/>
          <w:b/>
          <w:color w:val="0B6F99"/>
          <w:sz w:val="19"/>
        </w:rPr>
        <w:t>Confidential and client data</w:t>
      </w:r>
      <w:r>
        <w:rPr>
          <w:rFonts w:ascii="Arial" w:hAnsi="Arial"/>
          <w:sz w:val="18"/>
        </w:rPr>
        <w:t>. Do not place proprietary, regulated, client-confidential, or personally identifying information into an external AI service without authorization. Substitute public or synthetic data for training exercises when necessary.</w:t>
      </w:r>
    </w:p>
    <w:p>
      <w:r>
        <w:rPr>
          <w:rFonts w:ascii="Arial" w:hAnsi="Arial"/>
          <w:b/>
          <w:color w:val="0B6F99"/>
          <w:sz w:val="19"/>
        </w:rPr>
        <w:t>Tool neutrality</w:t>
      </w:r>
      <w:r>
        <w:rPr>
          <w:rFonts w:ascii="Arial" w:hAnsi="Arial"/>
          <w:sz w:val="18"/>
        </w:rPr>
        <w:t>. The course is workflow-first. Specific LLMs and mapping libraries may change during the course; participants are assessed on transferability, judgment, reproducibility, and communication rather than platform-specific tricks.</w:t>
      </w:r>
    </w:p>
    <w:p>
      <w:r>
        <w:rPr>
          <w:rFonts w:ascii="Arial" w:hAnsi="Arial"/>
          <w:b/>
          <w:color w:val="0B6F99"/>
          <w:sz w:val="19"/>
        </w:rPr>
        <w:t>Accessibility and professional standards</w:t>
      </w:r>
      <w:r>
        <w:rPr>
          <w:rFonts w:ascii="Arial" w:hAnsi="Arial"/>
          <w:sz w:val="18"/>
        </w:rPr>
        <w:t>. Treat accessibility, provenance, uncertainty, and ethical review as production requirements rather than end-of-project cleanup.</w:t>
      </w:r>
    </w:p>
    <w:p>
      <w:pPr>
        <w:jc w:val="center"/>
      </w:pPr>
      <w:r>
        <w:rPr>
          <w:rFonts w:ascii="Arial" w:hAnsi="Arial"/>
          <w:color w:val="627381"/>
          <w:sz w:val="15"/>
        </w:rPr>
        <w:t>Primary text: Muehlenhaus, Ian. Prompt Cartography: Interactive Web Map Design with LLMs. CRC Press / Taylor &amp; Francis.</w:t>
        <w:br/>
      </w:r>
      <w:r>
        <w:rPr>
          <w:rFonts w:ascii="Arial" w:hAnsi="Arial"/>
          <w:color w:val="627381"/>
          <w:sz w:val="15"/>
        </w:rPr>
        <w:t xml:space="preserve">Companion: </w:t>
      </w:r>
      <w:hyperlink r:id="rId11">
        <w:r>
          <w:rPr>
            <w:rFonts w:ascii="Arial" w:hAnsi="Arial"/>
            <w:color w:val="0B6F99"/>
            <w:u w:val="single"/>
          </w:rPr>
          <w:t>https://www.promptcartography.com</w:t>
        </w:r>
      </w:hyperlink>
      <w:r>
        <w:rPr>
          <w:rFonts w:ascii="Arial" w:hAnsi="Arial"/>
          <w:color w:val="627381"/>
          <w:sz w:val="15"/>
        </w:rPr>
        <w:t xml:space="preserve">  •  </w:t>
      </w:r>
      <w:hyperlink r:id="rId14">
        <w:r>
          <w:rPr>
            <w:rFonts w:ascii="Arial" w:hAnsi="Arial"/>
            <w:color w:val="0B6F99"/>
            <w:u w:val="single"/>
          </w:rPr>
          <w:t>https://www.webmapgpt.com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35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Arial" w:hAnsi="Arial"/>
        <w:color w:val="627381"/>
        <w:sz w:val="15"/>
      </w:rPr>
      <w:t xml:space="preserve">Ian Muehlenhaus  •  www.promptcartography.com  •  </w:t>
    </w:r>
    <w:r>
      <w:rPr>
        <w:rFonts w:ascii="Arial" w:hAnsi="Arial"/>
        <w:color w:val="627381"/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0B6F99"/>
        <w:sz w:val="15"/>
      </w:rPr>
      <w:t>PROMPT CARTOGRAPHY  •  PROFESSIONAL LEARNING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7" w:lineRule="auto"/>
    </w:pPr>
    <w:rPr>
      <w:rFonts w:ascii="Arial" w:hAnsi="Arial"/>
      <w:color w:val="1723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B6F9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B6F9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1723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B6F99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promptcartography.com" TargetMode="External"/><Relationship Id="rId12" Type="http://schemas.openxmlformats.org/officeDocument/2006/relationships/hyperlink" Target="https://www.promptcartography.com/labs/" TargetMode="External"/><Relationship Id="rId13" Type="http://schemas.openxmlformats.org/officeDocument/2006/relationships/hyperlink" Target="https://www.promptcartography.com/instructor-resources/" TargetMode="External"/><Relationship Id="rId14" Type="http://schemas.openxmlformats.org/officeDocument/2006/relationships/hyperlink" Target="https://www.webmapgpt.com" TargetMode="External"/><Relationship Id="rId15" Type="http://schemas.openxmlformats.org/officeDocument/2006/relationships/hyperlink" Target="https://www.webmapgpt.com/agents.html" TargetMode="External"/><Relationship Id="rId16" Type="http://schemas.openxmlformats.org/officeDocument/2006/relationships/hyperlink" Target="https://www.promptcartography.com/design-schemas/style-mashup-lab/" TargetMode="External"/><Relationship Id="rId17" Type="http://schemas.openxmlformats.org/officeDocument/2006/relationships/hyperlink" Target="https://www.promptcartography.com/blog/disputation-cartographic-expertis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